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9E" w:rsidRPr="000A1D9E" w:rsidRDefault="000A1D9E" w:rsidP="000A1D9E">
      <w:pPr>
        <w:spacing w:after="0" w:line="288" w:lineRule="auto"/>
        <w:jc w:val="center"/>
        <w:outlineLvl w:val="0"/>
        <w:rPr>
          <w:rFonts w:eastAsia="Times New Roman" w:cs="Times New Roman"/>
          <w:b/>
          <w:bCs/>
          <w:kern w:val="36"/>
          <w:szCs w:val="28"/>
          <w:u w:val="single"/>
          <w:lang w:val="vi-VN"/>
        </w:rPr>
      </w:pPr>
      <w:bookmarkStart w:id="0" w:name="_GoBack"/>
      <w:r w:rsidRPr="000A1D9E">
        <w:rPr>
          <w:rFonts w:eastAsia="Times New Roman" w:cs="Times New Roman"/>
          <w:b/>
          <w:bCs/>
          <w:kern w:val="36"/>
          <w:szCs w:val="28"/>
          <w:u w:val="single"/>
          <w:lang w:val="vi-VN"/>
        </w:rPr>
        <w:t>Khi đi xe máy mà d</w:t>
      </w:r>
      <w:r w:rsidRPr="000A1D9E">
        <w:rPr>
          <w:rFonts w:eastAsia="Times New Roman" w:cs="Times New Roman"/>
          <w:b/>
          <w:bCs/>
          <w:kern w:val="36"/>
          <w:szCs w:val="28"/>
          <w:u w:val="single"/>
        </w:rPr>
        <w:t xml:space="preserve">ừng đèn đỏ </w:t>
      </w:r>
      <w:r w:rsidRPr="000A1D9E">
        <w:rPr>
          <w:rFonts w:eastAsia="Times New Roman" w:cs="Times New Roman"/>
          <w:b/>
          <w:bCs/>
          <w:kern w:val="36"/>
          <w:szCs w:val="28"/>
          <w:u w:val="single"/>
          <w:lang w:val="vi-VN"/>
        </w:rPr>
        <w:t xml:space="preserve">thì </w:t>
      </w:r>
      <w:r w:rsidRPr="000A1D9E">
        <w:rPr>
          <w:rFonts w:eastAsia="Times New Roman" w:cs="Times New Roman"/>
          <w:b/>
          <w:bCs/>
          <w:kern w:val="36"/>
          <w:szCs w:val="28"/>
          <w:u w:val="single"/>
        </w:rPr>
        <w:t>có được phép sử dụng điện thoại không?</w:t>
      </w:r>
    </w:p>
    <w:p w:rsidR="000A1D9E" w:rsidRPr="000A1D9E" w:rsidRDefault="000A1D9E" w:rsidP="000A1D9E">
      <w:pPr>
        <w:shd w:val="clear" w:color="auto" w:fill="F4F4F4"/>
        <w:spacing w:after="0" w:line="288" w:lineRule="auto"/>
        <w:jc w:val="center"/>
        <w:outlineLvl w:val="2"/>
        <w:rPr>
          <w:rFonts w:eastAsia="Times New Roman" w:cs="Times New Roman"/>
          <w:b/>
          <w:bCs/>
          <w:color w:val="222222"/>
          <w:szCs w:val="28"/>
          <w:u w:val="single"/>
        </w:rPr>
      </w:pPr>
      <w:r w:rsidRPr="000A1D9E">
        <w:rPr>
          <w:rFonts w:eastAsia="Times New Roman" w:cs="Times New Roman"/>
          <w:b/>
          <w:bCs/>
          <w:color w:val="222222"/>
          <w:szCs w:val="28"/>
          <w:u w:val="single"/>
        </w:rPr>
        <w:t>Dừng đèn đỏ có được phép sử dụng điện thoại không?</w:t>
      </w:r>
    </w:p>
    <w:bookmarkEnd w:id="0"/>
    <w:p w:rsidR="000A1D9E" w:rsidRDefault="000A1D9E" w:rsidP="000A1D9E">
      <w:pPr>
        <w:shd w:val="clear" w:color="auto" w:fill="F4F4F4"/>
        <w:spacing w:after="0" w:line="288" w:lineRule="auto"/>
        <w:rPr>
          <w:rFonts w:eastAsia="Times New Roman" w:cs="Times New Roman"/>
          <w:color w:val="222222"/>
          <w:szCs w:val="28"/>
          <w:lang w:val="vi-VN"/>
        </w:rPr>
      </w:pPr>
    </w:p>
    <w:p w:rsidR="000A1D9E" w:rsidRPr="000A1D9E" w:rsidRDefault="000A1D9E" w:rsidP="000A1D9E">
      <w:pPr>
        <w:shd w:val="clear" w:color="auto" w:fill="F4F4F4"/>
        <w:spacing w:after="0" w:line="288" w:lineRule="auto"/>
        <w:ind w:firstLine="720"/>
        <w:rPr>
          <w:rFonts w:eastAsia="Times New Roman" w:cs="Times New Roman"/>
          <w:color w:val="222222"/>
          <w:szCs w:val="28"/>
        </w:rPr>
      </w:pPr>
      <w:r w:rsidRPr="000A1D9E">
        <w:rPr>
          <w:rFonts w:eastAsia="Times New Roman" w:cs="Times New Roman"/>
          <w:color w:val="222222"/>
          <w:szCs w:val="28"/>
        </w:rPr>
        <w:t>Sử dụng điện thoại khi tham gia giao thông là một trong những hành vi khá nguy hiểm và có thể gây ra tai nạn giao thông do việc sử dụng điện thoại khiến người điều khiển phương tiện giao thông bị sao nhãng mất tập trung.</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Tại khoản 6, Điều 9 </w:t>
      </w:r>
      <w:hyperlink r:id="rId5" w:tgtFrame="_blank" w:history="1">
        <w:r w:rsidRPr="000A1D9E">
          <w:rPr>
            <w:rFonts w:eastAsia="Times New Roman" w:cs="Times New Roman"/>
            <w:color w:val="A67C52"/>
            <w:szCs w:val="28"/>
            <w:u w:val="single"/>
          </w:rPr>
          <w:t>Luật Trật tự, an toàn giao thông đường bộ 2024</w:t>
        </w:r>
      </w:hyperlink>
      <w:r w:rsidRPr="000A1D9E">
        <w:rPr>
          <w:rFonts w:eastAsia="Times New Roman" w:cs="Times New Roman"/>
          <w:color w:val="222222"/>
          <w:szCs w:val="28"/>
        </w:rPr>
        <w:t> có quy định về các hành vi bị nghiêm cấm: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b/>
          <w:bCs/>
          <w:i/>
          <w:iCs/>
          <w:color w:val="222222"/>
          <w:szCs w:val="28"/>
        </w:rPr>
        <w:t>Điều 9. Các hành vi bị nghiêm cấm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6. Dùng tay cầm và sử dụng điện thoại hoặc thiết bị điện tử khác khi điều khiển phương tiện tham gia giao thông đang di chuyển trên đường bộ.</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Theo đó, một trong những hành vi bị nghiêm cấm khi điều khiển phương tiện tham gia giao thông đang di chuyển trên đường bộ là dùng tay cầm và sử dụng điện thoại hoặc thiết bị điện tử khác.</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Hiện nay pháp luật không quy định cụ thể việc điều khiển phương tiện dừng đèn đỏ có thuộc trường hợp đang di chuyển trên đường bộ hay không. Tuy nhiên, tại Điều 18 Luật Trật tự, an toàn giao thông đường bộ 2024 có quy định về dừng xe, dỗ xe như sau:</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 </w:t>
      </w:r>
      <w:hyperlink r:id="rId6" w:tgtFrame="_blank" w:history="1">
        <w:r w:rsidRPr="000A1D9E">
          <w:rPr>
            <w:rFonts w:eastAsia="Times New Roman" w:cs="Times New Roman"/>
            <w:color w:val="A67C52"/>
            <w:szCs w:val="28"/>
            <w:u w:val="single"/>
          </w:rPr>
          <w:t>Dừng xe</w:t>
        </w:r>
      </w:hyperlink>
      <w:r w:rsidRPr="000A1D9E">
        <w:rPr>
          <w:rFonts w:eastAsia="Times New Roman" w:cs="Times New Roman"/>
          <w:color w:val="222222"/>
          <w:szCs w:val="28"/>
        </w:rPr>
        <w:t>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xe, xếp dỡ hàng hóa, kiểm tra kỹ thuật xe nhưng phải sử dụng phanh đỗ xe hoặc thực hiện biện pháp an toàn khác.</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 Đỗ xe là trạng thái đứng yên của xe không giới hạn thời gian. Khi đỗ xe, người điều khiển phương tiện tham gia giao thông đường bộ chỉ được rời khỏi xe khi đã sử dụng phanh đỗ xe hoặc thực hiện biện pháp an toàn khác. Xe đỗ trên đoạn đường dốc phải đánh lái về phía lề đường, chèn bánh.</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 Trên đường bộ, người điều khiển phương tiện tham gia giao thông đường bộ chỉ được dừng xe, đỗ xe ở nơi có lề đường rộng hoặc khu đất ở bên ngoài phần đường xe chạy; trường hợp lề đường hẹp hoặc không có lề đường thì chỉ được dừng xe, đỗ xe sát mép đường phía bên phải theo chiều đi của mình.</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lastRenderedPageBreak/>
        <w:t>- Trên đường phố, người điều khiển phương tiện tham gia giao thông đường bộ chỉ được dừng xe, đỗ xe sát theo lề đường, vỉa hè phía bên phải theo chiều đi của mình; bánh xe gần nhất không được cách xa lề đường, vỉa hè quá 0,25 mét và không gây cản trở, nguy hiểm cho người và phương tiện tham gia giao thông đường bộ.</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Như vậy, có thể thấy việc đang dừng đèn đỏ trên đường không được xem là trường hợp dừng xe, đỗ xe, người điều khiển phương tiện tham gia giao thông vẫn có thể bị xử phạt theo quy định đối với hành vi sử dụng điện thoại khi tham gia giao thông. Do đó, nếu muốn sử dụng điện thoại di động khi đang tham gia giao thông, chỉ nên sử dụng điện thoại khi đang dừng xe, đỗ xe theo quy định của pháp luật.</w:t>
      </w:r>
    </w:p>
    <w:p w:rsidR="000A1D9E" w:rsidRPr="000A1D9E" w:rsidRDefault="000A1D9E" w:rsidP="000A1D9E">
      <w:pPr>
        <w:shd w:val="clear" w:color="auto" w:fill="F4F4F4"/>
        <w:spacing w:after="0" w:line="288" w:lineRule="auto"/>
        <w:outlineLvl w:val="2"/>
        <w:rPr>
          <w:rFonts w:eastAsia="Times New Roman" w:cs="Times New Roman"/>
          <w:b/>
          <w:bCs/>
          <w:color w:val="222222"/>
          <w:szCs w:val="28"/>
        </w:rPr>
      </w:pPr>
      <w:r w:rsidRPr="000A1D9E">
        <w:rPr>
          <w:rFonts w:eastAsia="Times New Roman" w:cs="Times New Roman"/>
          <w:b/>
          <w:bCs/>
          <w:color w:val="222222"/>
          <w:szCs w:val="28"/>
        </w:rPr>
        <w:t>Sử dụng điện thoại khi đi xe máy bị xử phạt thế nào?</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Căn cứ Điều 7 Nghị định </w:t>
      </w:r>
      <w:hyperlink r:id="rId7" w:tgtFrame="_blank" w:history="1">
        <w:r w:rsidRPr="000A1D9E">
          <w:rPr>
            <w:rFonts w:eastAsia="Times New Roman" w:cs="Times New Roman"/>
            <w:color w:val="A67C52"/>
            <w:szCs w:val="28"/>
            <w:u w:val="single"/>
          </w:rPr>
          <w:t>168/2024/NĐ-CP</w:t>
        </w:r>
      </w:hyperlink>
      <w:r w:rsidRPr="000A1D9E">
        <w:rPr>
          <w:rFonts w:eastAsia="Times New Roman" w:cs="Times New Roman"/>
          <w:color w:val="222222"/>
          <w:szCs w:val="28"/>
        </w:rPr>
        <w:t> có quy định về trường hợp lỗi sử dụng điện thoại khi đi xe máy như sau:</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b/>
          <w:bCs/>
          <w:i/>
          <w:iCs/>
          <w:color w:val="222222"/>
          <w:szCs w:val="28"/>
        </w:rPr>
        <w:t>Điều 7. Xử phạt, trừ điểm giấy phép lái của người điều khiển xe mô tô, xe gắn máy, các loại xe tương tự xe mô tô và các loại xe tương tự xe gắn máy vi phạm quy tắc giao thông đường bộ</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4. Phạt tiền từ 800.000 đồng đến 1.000.000 đồng đối với người điều khiển xe thực hiện một trong các hành vi vi phạm sau đây:</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đ) Người đang điều khiển xe sử dụng ô (dù), thiết bị âm thanh (trừ thiết bị trợ thính), dùng tay cầm và sử dụng điện thoại hoặc các thiết bị điện tử khác.</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10. Phạt tiền từ 10.000.000 đồng đến 14.000.000 đồng đối với người điều khiển xe thực hiện một trong các hành vi vi phạm sau đây:</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b) Vi phạm quy định tại một trong các điểm, khoản sau của Điều này mà gây tai nạn giao thông: điểm a, điểm d, điểm đ, điểm g, điểm h, điểm i, điểm k khoản 1; điểm c, điểm đ, điểm g khoản 2; điểm b, điểm e, điểm g, điểm h, điểm k khoản 3; điểm đ khoản 4; điểm c, điểm d khoản 6; điểm c, điểm d, điểm đ khoản 7; điểm a, điểm b, điểm h, điểm k khoản 9 Điều này.</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lastRenderedPageBreak/>
        <w:t>13. Ngoài việc bị áp dụng hình thức xử phạt, người điều khiển xe thực hiện hành vi vi phạm còn bị trừ điểm giấy phép lái xe như sau:</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a) Thực hiện hành vi quy định tại điểm b khoản 3; khoản 5; điểm b, điểm c, điểm d khoản 6; điểm a khoản 7 Điều này bị trừ điểm giấy phép lái xe 02 điểm;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b) Thực hiện hành vi quy định tại điểm đ khoản 4; điểm a khoản 6; điểm c, điểm d, điểm đ khoản 7; điểm a khoản 8 Điều này bị trừ điểm giấy phép lái xe 04 điểm;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c) Thực hiện hành vi quy định tại điểm b khoản 7, điểm c khoản 9 Điều này bị trừ điểm giấy phép lái xe 06 điểm;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d) Thực hiện hành vi quy định tại điểm b khoản 8, khoản 10 Điều này bị trừ điểm giấy phép lái xe 10 điểm.</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Như vậy, hành vi dừng đèn đỏ có sử dụng điện thoại gây cản trở giao thông thì vẫn có thể bị xử phạt hành chính theo quy định. Tuy nhiên thực tế người lái xe khi cần sử dụng điện thoại thì nên tuân thủ việc dừng xe đúng nơi quy định để bảo đảm an toàn.</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Cụ thể, từ năm 2025, lỗi sử dụng điện thoại khi đi xe máy có thể bị phạt tiền từ 800.000 đồng đến 1.000.000 đồng và bị trừ điểm bằng lái xe 04 điểm. Trường hợp gây tai nạn giao thông thì phạt tiền từ 10.000.000 đồng đến 14.000.000 đồng và bị trừ điểm bằng lái xe 10 điểm.</w:t>
      </w:r>
    </w:p>
    <w:p w:rsidR="000134DB" w:rsidRPr="000A1D9E" w:rsidRDefault="000134DB" w:rsidP="000A1D9E">
      <w:pPr>
        <w:spacing w:after="0" w:line="288" w:lineRule="auto"/>
        <w:rPr>
          <w:rFonts w:cs="Times New Roman"/>
          <w:szCs w:val="28"/>
        </w:rPr>
      </w:pPr>
    </w:p>
    <w:sectPr w:rsidR="000134DB" w:rsidRPr="000A1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9E"/>
    <w:rsid w:val="000134DB"/>
    <w:rsid w:val="000A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D9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0A1D9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9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0A1D9E"/>
    <w:rPr>
      <w:rFonts w:eastAsia="Times New Roman" w:cs="Times New Roman"/>
      <w:b/>
      <w:bCs/>
      <w:sz w:val="27"/>
      <w:szCs w:val="27"/>
    </w:rPr>
  </w:style>
  <w:style w:type="paragraph" w:customStyle="1" w:styleId="the-article-meta">
    <w:name w:val="the-article-meta"/>
    <w:basedOn w:val="Normal"/>
    <w:rsid w:val="000A1D9E"/>
    <w:pPr>
      <w:spacing w:before="100" w:beforeAutospacing="1" w:after="100" w:afterAutospacing="1" w:line="240" w:lineRule="auto"/>
    </w:pPr>
    <w:rPr>
      <w:rFonts w:eastAsia="Times New Roman" w:cs="Times New Roman"/>
      <w:sz w:val="24"/>
      <w:szCs w:val="24"/>
    </w:rPr>
  </w:style>
  <w:style w:type="character" w:customStyle="1" w:styleId="item-t1-ls">
    <w:name w:val="item-t1-ls"/>
    <w:basedOn w:val="DefaultParagraphFont"/>
    <w:rsid w:val="000A1D9E"/>
  </w:style>
  <w:style w:type="character" w:styleId="Hyperlink">
    <w:name w:val="Hyperlink"/>
    <w:basedOn w:val="DefaultParagraphFont"/>
    <w:uiPriority w:val="99"/>
    <w:semiHidden/>
    <w:unhideWhenUsed/>
    <w:rsid w:val="000A1D9E"/>
    <w:rPr>
      <w:color w:val="0000FF"/>
      <w:u w:val="single"/>
    </w:rPr>
  </w:style>
  <w:style w:type="character" w:styleId="Strong">
    <w:name w:val="Strong"/>
    <w:basedOn w:val="DefaultParagraphFont"/>
    <w:uiPriority w:val="22"/>
    <w:qFormat/>
    <w:rsid w:val="000A1D9E"/>
    <w:rPr>
      <w:b/>
      <w:bCs/>
    </w:rPr>
  </w:style>
  <w:style w:type="paragraph" w:styleId="NormalWeb">
    <w:name w:val="Normal (Web)"/>
    <w:basedOn w:val="Normal"/>
    <w:uiPriority w:val="99"/>
    <w:semiHidden/>
    <w:unhideWhenUsed/>
    <w:rsid w:val="000A1D9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A1D9E"/>
    <w:rPr>
      <w:i/>
      <w:iCs/>
    </w:rPr>
  </w:style>
  <w:style w:type="paragraph" w:styleId="BalloonText">
    <w:name w:val="Balloon Text"/>
    <w:basedOn w:val="Normal"/>
    <w:link w:val="BalloonTextChar"/>
    <w:uiPriority w:val="99"/>
    <w:semiHidden/>
    <w:unhideWhenUsed/>
    <w:rsid w:val="000A1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D9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0A1D9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9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0A1D9E"/>
    <w:rPr>
      <w:rFonts w:eastAsia="Times New Roman" w:cs="Times New Roman"/>
      <w:b/>
      <w:bCs/>
      <w:sz w:val="27"/>
      <w:szCs w:val="27"/>
    </w:rPr>
  </w:style>
  <w:style w:type="paragraph" w:customStyle="1" w:styleId="the-article-meta">
    <w:name w:val="the-article-meta"/>
    <w:basedOn w:val="Normal"/>
    <w:rsid w:val="000A1D9E"/>
    <w:pPr>
      <w:spacing w:before="100" w:beforeAutospacing="1" w:after="100" w:afterAutospacing="1" w:line="240" w:lineRule="auto"/>
    </w:pPr>
    <w:rPr>
      <w:rFonts w:eastAsia="Times New Roman" w:cs="Times New Roman"/>
      <w:sz w:val="24"/>
      <w:szCs w:val="24"/>
    </w:rPr>
  </w:style>
  <w:style w:type="character" w:customStyle="1" w:styleId="item-t1-ls">
    <w:name w:val="item-t1-ls"/>
    <w:basedOn w:val="DefaultParagraphFont"/>
    <w:rsid w:val="000A1D9E"/>
  </w:style>
  <w:style w:type="character" w:styleId="Hyperlink">
    <w:name w:val="Hyperlink"/>
    <w:basedOn w:val="DefaultParagraphFont"/>
    <w:uiPriority w:val="99"/>
    <w:semiHidden/>
    <w:unhideWhenUsed/>
    <w:rsid w:val="000A1D9E"/>
    <w:rPr>
      <w:color w:val="0000FF"/>
      <w:u w:val="single"/>
    </w:rPr>
  </w:style>
  <w:style w:type="character" w:styleId="Strong">
    <w:name w:val="Strong"/>
    <w:basedOn w:val="DefaultParagraphFont"/>
    <w:uiPriority w:val="22"/>
    <w:qFormat/>
    <w:rsid w:val="000A1D9E"/>
    <w:rPr>
      <w:b/>
      <w:bCs/>
    </w:rPr>
  </w:style>
  <w:style w:type="paragraph" w:styleId="NormalWeb">
    <w:name w:val="Normal (Web)"/>
    <w:basedOn w:val="Normal"/>
    <w:uiPriority w:val="99"/>
    <w:semiHidden/>
    <w:unhideWhenUsed/>
    <w:rsid w:val="000A1D9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A1D9E"/>
    <w:rPr>
      <w:i/>
      <w:iCs/>
    </w:rPr>
  </w:style>
  <w:style w:type="paragraph" w:styleId="BalloonText">
    <w:name w:val="Balloon Text"/>
    <w:basedOn w:val="Normal"/>
    <w:link w:val="BalloonTextChar"/>
    <w:uiPriority w:val="99"/>
    <w:semiHidden/>
    <w:unhideWhenUsed/>
    <w:rsid w:val="000A1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4935">
      <w:bodyDiv w:val="1"/>
      <w:marLeft w:val="0"/>
      <w:marRight w:val="0"/>
      <w:marTop w:val="0"/>
      <w:marBottom w:val="0"/>
      <w:divBdr>
        <w:top w:val="none" w:sz="0" w:space="0" w:color="auto"/>
        <w:left w:val="none" w:sz="0" w:space="0" w:color="auto"/>
        <w:bottom w:val="none" w:sz="0" w:space="0" w:color="auto"/>
        <w:right w:val="none" w:sz="0" w:space="0" w:color="auto"/>
      </w:divBdr>
      <w:divsChild>
        <w:div w:id="425157696">
          <w:marLeft w:val="0"/>
          <w:marRight w:val="0"/>
          <w:marTop w:val="0"/>
          <w:marBottom w:val="240"/>
          <w:divBdr>
            <w:top w:val="none" w:sz="0" w:space="0" w:color="auto"/>
            <w:left w:val="none" w:sz="0" w:space="0" w:color="auto"/>
            <w:bottom w:val="none" w:sz="0" w:space="0" w:color="auto"/>
            <w:right w:val="none" w:sz="0" w:space="0" w:color="auto"/>
          </w:divBdr>
          <w:divsChild>
            <w:div w:id="803932729">
              <w:marLeft w:val="0"/>
              <w:marRight w:val="0"/>
              <w:marTop w:val="0"/>
              <w:marBottom w:val="0"/>
              <w:divBdr>
                <w:top w:val="none" w:sz="0" w:space="0" w:color="auto"/>
                <w:left w:val="none" w:sz="0" w:space="0" w:color="auto"/>
                <w:bottom w:val="none" w:sz="0" w:space="0" w:color="auto"/>
                <w:right w:val="none" w:sz="0" w:space="0" w:color="auto"/>
              </w:divBdr>
            </w:div>
            <w:div w:id="992685296">
              <w:marLeft w:val="0"/>
              <w:marRight w:val="0"/>
              <w:marTop w:val="0"/>
              <w:marBottom w:val="0"/>
              <w:divBdr>
                <w:top w:val="none" w:sz="0" w:space="0" w:color="auto"/>
                <w:left w:val="none" w:sz="0" w:space="0" w:color="auto"/>
                <w:bottom w:val="none" w:sz="0" w:space="0" w:color="auto"/>
                <w:right w:val="none" w:sz="0" w:space="0" w:color="auto"/>
              </w:divBdr>
              <w:divsChild>
                <w:div w:id="9078801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95970830">
          <w:marLeft w:val="0"/>
          <w:marRight w:val="0"/>
          <w:marTop w:val="0"/>
          <w:marBottom w:val="180"/>
          <w:divBdr>
            <w:top w:val="dashed" w:sz="6" w:space="11" w:color="F9AD81"/>
            <w:left w:val="dashed" w:sz="6" w:space="11" w:color="F9AD81"/>
            <w:bottom w:val="dashed" w:sz="6" w:space="11" w:color="F9AD81"/>
            <w:right w:val="dashed" w:sz="6" w:space="11" w:color="F9AD81"/>
          </w:divBdr>
          <w:divsChild>
            <w:div w:id="294144573">
              <w:marLeft w:val="0"/>
              <w:marRight w:val="0"/>
              <w:marTop w:val="0"/>
              <w:marBottom w:val="0"/>
              <w:divBdr>
                <w:top w:val="none" w:sz="0" w:space="0" w:color="auto"/>
                <w:left w:val="none" w:sz="0" w:space="0" w:color="auto"/>
                <w:bottom w:val="none" w:sz="0" w:space="0" w:color="auto"/>
                <w:right w:val="none" w:sz="0" w:space="0" w:color="auto"/>
              </w:divBdr>
            </w:div>
          </w:divsChild>
        </w:div>
        <w:div w:id="628822055">
          <w:marLeft w:val="0"/>
          <w:marRight w:val="0"/>
          <w:marTop w:val="0"/>
          <w:marBottom w:val="360"/>
          <w:divBdr>
            <w:top w:val="dashed" w:sz="6" w:space="15" w:color="DDDDDD"/>
            <w:left w:val="dashed" w:sz="6" w:space="15" w:color="DDDDDD"/>
            <w:bottom w:val="dashed" w:sz="6" w:space="15" w:color="DDDDDD"/>
            <w:right w:val="dashed" w:sz="6" w:space="15" w:color="DDDDDD"/>
          </w:divBdr>
          <w:divsChild>
            <w:div w:id="818420962">
              <w:marLeft w:val="0"/>
              <w:marRight w:val="0"/>
              <w:marTop w:val="0"/>
              <w:marBottom w:val="240"/>
              <w:divBdr>
                <w:top w:val="none" w:sz="0" w:space="0" w:color="auto"/>
                <w:left w:val="none" w:sz="0" w:space="0" w:color="auto"/>
                <w:bottom w:val="none" w:sz="0" w:space="0" w:color="auto"/>
                <w:right w:val="none" w:sz="0" w:space="0" w:color="auto"/>
              </w:divBdr>
              <w:divsChild>
                <w:div w:id="119730736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6300570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an-ninh-trat-tu/nghi-dinh-168-2024-nd-cp-xu-phat-vi-pham-hanh-chinh-giao-thong-duong-bo-tru-diem-phuc-hoi-diem-giay-phep-lai-xe-382883-d1.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giao-thong/30-vi-tri-khong-duoc-dung-do-xe-va-muc-phat-863-100581-article.html" TargetMode="External"/><Relationship Id="rId11" Type="http://schemas.openxmlformats.org/officeDocument/2006/relationships/customXml" Target="../customXml/item2.xml"/><Relationship Id="rId5" Type="http://schemas.openxmlformats.org/officeDocument/2006/relationships/hyperlink" Target="https://luatvietnam.vn/giao-thong/luat-trat-tu-an-toan-giao-thong-duong-bo-cua-quoc-hoi-so-36-2024-qh15-360844-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374B6-824F-4CEE-887D-D9BB223230F0}"/>
</file>

<file path=customXml/itemProps2.xml><?xml version="1.0" encoding="utf-8"?>
<ds:datastoreItem xmlns:ds="http://schemas.openxmlformats.org/officeDocument/2006/customXml" ds:itemID="{06677C73-A7AB-4C20-A6F8-3E0A613660B8}"/>
</file>

<file path=customXml/itemProps3.xml><?xml version="1.0" encoding="utf-8"?>
<ds:datastoreItem xmlns:ds="http://schemas.openxmlformats.org/officeDocument/2006/customXml" ds:itemID="{850B93F9-FFA0-4B13-A83F-76F83CA95DB8}"/>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2025-02-06T09:10:00Z</dcterms:created>
  <dcterms:modified xsi:type="dcterms:W3CDTF">2025-02-06T09:12:00Z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